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EB" w:rsidRDefault="00744D1F" w:rsidP="00744D1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44D1F">
        <w:rPr>
          <w:rFonts w:ascii="Arial" w:hAnsi="Arial" w:cs="Arial"/>
          <w:b/>
          <w:sz w:val="20"/>
          <w:szCs w:val="20"/>
        </w:rPr>
        <w:t xml:space="preserve">PROMJENE U NATJECATELJSKOM PRAVILNIKU </w:t>
      </w:r>
      <w:r w:rsidR="008D0A11">
        <w:rPr>
          <w:rFonts w:ascii="Arial" w:hAnsi="Arial" w:cs="Arial"/>
          <w:b/>
          <w:sz w:val="20"/>
          <w:szCs w:val="20"/>
        </w:rPr>
        <w:t xml:space="preserve">ZA </w:t>
      </w:r>
      <w:r w:rsidRPr="00744D1F">
        <w:rPr>
          <w:rFonts w:ascii="Arial" w:hAnsi="Arial" w:cs="Arial"/>
          <w:b/>
          <w:sz w:val="20"/>
          <w:szCs w:val="20"/>
        </w:rPr>
        <w:t>201</w:t>
      </w:r>
      <w:r w:rsidR="00405B9D">
        <w:rPr>
          <w:rFonts w:ascii="Arial" w:hAnsi="Arial" w:cs="Arial"/>
          <w:b/>
          <w:sz w:val="20"/>
          <w:szCs w:val="20"/>
        </w:rPr>
        <w:t>9</w:t>
      </w:r>
      <w:r w:rsidRPr="00744D1F">
        <w:rPr>
          <w:rFonts w:ascii="Arial" w:hAnsi="Arial" w:cs="Arial"/>
          <w:b/>
          <w:sz w:val="20"/>
          <w:szCs w:val="20"/>
        </w:rPr>
        <w:t>.</w:t>
      </w:r>
    </w:p>
    <w:p w:rsidR="008D0A11" w:rsidRPr="00744D1F" w:rsidRDefault="008D0A11" w:rsidP="00744D1F">
      <w:pPr>
        <w:jc w:val="center"/>
        <w:rPr>
          <w:rFonts w:ascii="Arial" w:hAnsi="Arial" w:cs="Arial"/>
          <w:b/>
          <w:sz w:val="20"/>
          <w:szCs w:val="20"/>
        </w:rPr>
      </w:pPr>
    </w:p>
    <w:p w:rsidR="00744D1F" w:rsidRDefault="00CC508C" w:rsidP="001F26B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3.15 – dodati da se EPH može igrati i u d</w:t>
      </w:r>
      <w:r w:rsidR="003F2ED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bnoj skupini VETERANI </w:t>
      </w:r>
      <w:r w:rsidR="003F2ED9">
        <w:rPr>
          <w:rFonts w:ascii="Arial" w:hAnsi="Arial" w:cs="Arial"/>
          <w:sz w:val="20"/>
          <w:szCs w:val="20"/>
        </w:rPr>
        <w:t xml:space="preserve"> (zasad je to moguće samo u dobnoj skupini </w:t>
      </w:r>
      <w:r>
        <w:rPr>
          <w:rFonts w:ascii="Arial" w:hAnsi="Arial" w:cs="Arial"/>
          <w:sz w:val="20"/>
          <w:szCs w:val="20"/>
        </w:rPr>
        <w:t>35+</w:t>
      </w:r>
      <w:r w:rsidR="003F2ED9">
        <w:rPr>
          <w:rFonts w:ascii="Arial" w:hAnsi="Arial" w:cs="Arial"/>
          <w:sz w:val="20"/>
          <w:szCs w:val="20"/>
        </w:rPr>
        <w:t xml:space="preserve">, u ostalim dobnim skupinama </w:t>
      </w:r>
      <w:r w:rsidR="00F3157E">
        <w:rPr>
          <w:rFonts w:ascii="Arial" w:hAnsi="Arial" w:cs="Arial"/>
          <w:sz w:val="20"/>
          <w:szCs w:val="20"/>
        </w:rPr>
        <w:t xml:space="preserve">veterana </w:t>
      </w:r>
      <w:r w:rsidR="003F2ED9">
        <w:rPr>
          <w:rFonts w:ascii="Arial" w:hAnsi="Arial" w:cs="Arial"/>
          <w:sz w:val="20"/>
          <w:szCs w:val="20"/>
        </w:rPr>
        <w:t>nema dovoljno</w:t>
      </w:r>
      <w:r w:rsidR="00F3157E">
        <w:rPr>
          <w:rFonts w:ascii="Arial" w:hAnsi="Arial" w:cs="Arial"/>
          <w:sz w:val="20"/>
          <w:szCs w:val="20"/>
        </w:rPr>
        <w:t xml:space="preserve"> natjecatelja za ekipno natjecanje</w:t>
      </w:r>
      <w:r w:rsidR="003F2ED9">
        <w:rPr>
          <w:rFonts w:ascii="Arial" w:hAnsi="Arial" w:cs="Arial"/>
          <w:sz w:val="20"/>
          <w:szCs w:val="20"/>
        </w:rPr>
        <w:t>).</w:t>
      </w:r>
    </w:p>
    <w:p w:rsidR="003B1A42" w:rsidRPr="00E34D4A" w:rsidRDefault="00E34D4A" w:rsidP="00E34D4A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34D4A">
        <w:rPr>
          <w:rFonts w:ascii="Arial" w:hAnsi="Arial" w:cs="Arial"/>
          <w:i/>
          <w:color w:val="000000" w:themeColor="text1"/>
          <w:sz w:val="20"/>
          <w:szCs w:val="20"/>
          <w:lang w:val="sv-SE"/>
        </w:rPr>
        <w:t>3.15 EPH se može organizirati u ovim dobnim skupinama -</w:t>
      </w:r>
      <w:r w:rsidRPr="00E34D4A">
        <w:rPr>
          <w:rFonts w:ascii="Arial" w:hAnsi="Arial" w:cs="Arial"/>
          <w:i/>
          <w:color w:val="000000" w:themeColor="text1"/>
          <w:sz w:val="20"/>
          <w:szCs w:val="20"/>
        </w:rPr>
        <w:t xml:space="preserve"> mlađi kadeti, kadeti, mlađi juniori, juniori</w:t>
      </w:r>
      <w:r w:rsidR="008F11E5" w:rsidRPr="008F11E5">
        <w:rPr>
          <w:rFonts w:ascii="Arial" w:hAnsi="Arial" w:cs="Arial"/>
          <w:i/>
          <w:color w:val="0070C0"/>
          <w:sz w:val="20"/>
          <w:szCs w:val="20"/>
        </w:rPr>
        <w:t>,</w:t>
      </w:r>
      <w:r w:rsidRPr="00E34D4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E34D4A">
        <w:rPr>
          <w:rFonts w:ascii="Arial" w:hAnsi="Arial" w:cs="Arial"/>
          <w:i/>
          <w:strike/>
          <w:color w:val="FF0000"/>
          <w:sz w:val="20"/>
          <w:szCs w:val="20"/>
        </w:rPr>
        <w:t>i</w:t>
      </w:r>
      <w:r w:rsidRPr="00E34D4A">
        <w:rPr>
          <w:rFonts w:ascii="Arial" w:hAnsi="Arial" w:cs="Arial"/>
          <w:i/>
          <w:color w:val="000000" w:themeColor="text1"/>
          <w:sz w:val="20"/>
          <w:szCs w:val="20"/>
        </w:rPr>
        <w:t xml:space="preserve"> seniori </w:t>
      </w:r>
      <w:r w:rsidRPr="00E34D4A">
        <w:rPr>
          <w:rFonts w:ascii="Arial" w:hAnsi="Arial" w:cs="Arial"/>
          <w:i/>
          <w:color w:val="0070C0"/>
          <w:sz w:val="20"/>
          <w:szCs w:val="20"/>
        </w:rPr>
        <w:t>i veterani</w:t>
      </w:r>
      <w:r w:rsidRPr="00E34D4A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FF0302" w:rsidRPr="00E34D4A" w:rsidRDefault="00FF0302" w:rsidP="00E34D4A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F0302" w:rsidRDefault="00FF0302" w:rsidP="00AE521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Novi članak 6.2.8 kojim se kreira popis dvorana na kojima se mogu održavati natjecanja PH i HK</w:t>
      </w:r>
      <w:r w:rsidR="00BE7432">
        <w:rPr>
          <w:rFonts w:ascii="Arial" w:hAnsi="Arial" w:cs="Arial"/>
          <w:sz w:val="20"/>
          <w:szCs w:val="20"/>
        </w:rPr>
        <w:t>. Popis će biti objavljen na stranicama Saveza, pod Upisnik, gdje su već i Treneri, Suci i Voditelji natjecanja.</w:t>
      </w:r>
    </w:p>
    <w:p w:rsidR="00C27D5F" w:rsidRPr="00C27D5F" w:rsidRDefault="00C27D5F" w:rsidP="00C27D5F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C27D5F">
        <w:rPr>
          <w:rFonts w:ascii="Arial" w:hAnsi="Arial" w:cs="Arial"/>
          <w:i/>
          <w:color w:val="0070C0"/>
          <w:sz w:val="20"/>
          <w:szCs w:val="20"/>
        </w:rPr>
        <w:t>6.2.8 Savez određuje popis dvorana koje su adekvatne (licencirane) za natjecanja PH i HK, i samo te dvorane mogu biti prijavljene na Prijavama za organizaciju natjecanja. Natjecanja PH i HK mogu se održavati samo u dvoranama iz tog popisa. Udruge mogu prijaviti nove dvorane za licenciranje, a Upravni odbor Saveza donosi odluku o licenciranju tih dvorana. Isto tako, Upravni odbor Saveza donosi odluku o prestanku važenja licence pojedine dvorane sa popisa.</w:t>
      </w:r>
    </w:p>
    <w:p w:rsidR="00FF0302" w:rsidRDefault="00FF0302" w:rsidP="00FF0302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3B1A42" w:rsidRDefault="003B1A42" w:rsidP="00AE521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Novi članak 6.3 vezano za </w:t>
      </w:r>
      <w:r w:rsidR="00712A7F">
        <w:rPr>
          <w:rFonts w:ascii="Arial" w:hAnsi="Arial" w:cs="Arial"/>
          <w:sz w:val="20"/>
          <w:szCs w:val="20"/>
        </w:rPr>
        <w:t>pripremu i provedbu natjecanja:</w:t>
      </w:r>
    </w:p>
    <w:p w:rsidR="001C3591" w:rsidRDefault="001C3591" w:rsidP="001C3591">
      <w:pPr>
        <w:pStyle w:val="ListParagraph"/>
        <w:ind w:left="360"/>
        <w:rPr>
          <w:rFonts w:ascii="Arial" w:hAnsi="Arial" w:cs="Arial"/>
          <w:i/>
          <w:color w:val="00B050"/>
          <w:sz w:val="20"/>
          <w:szCs w:val="20"/>
        </w:rPr>
      </w:pPr>
    </w:p>
    <w:p w:rsidR="0093268B" w:rsidRPr="0093268B" w:rsidRDefault="0093268B" w:rsidP="0093268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3268B">
        <w:rPr>
          <w:rFonts w:ascii="Arial" w:hAnsi="Arial" w:cs="Arial"/>
          <w:i/>
          <w:color w:val="0070C0"/>
          <w:sz w:val="20"/>
          <w:szCs w:val="20"/>
        </w:rPr>
        <w:t>6.3 U slučaju da organizator natjecanja ne ispuni neke od stavaka u člancima 6.1 i 6.2, Voditelj natjecanja je dužan isto evidentirati u Zapisniku natjecanja. Upravni odbor Saveza ima pravo odrediti nekog od dužnosnika Saveza koji će provjeriti jesu li na natjecanju ispunjene sve stavke iz članaka 6.1 i 6.2, te je li sve ispravno  evidentirano u Zapisniku natjecanja. Vezano za dostavljanje Zapisnika natjecanja i uplate dijela prijavnine sa natjecanja, glavna tajnica Saveza o tome obavještava Ravnatelja natjecanja.</w:t>
      </w:r>
    </w:p>
    <w:p w:rsidR="0093268B" w:rsidRPr="0093268B" w:rsidRDefault="0093268B" w:rsidP="0093268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3268B">
        <w:rPr>
          <w:rFonts w:ascii="Arial" w:hAnsi="Arial" w:cs="Arial"/>
          <w:i/>
          <w:color w:val="0070C0"/>
          <w:sz w:val="20"/>
          <w:szCs w:val="20"/>
        </w:rPr>
        <w:t>6.3.1 Ravnatelj natjecanja na temelju Zapisnika natjecanja može donijeti odluku o novčanoj kazni organizatoru natjecanja prema odredbama u Cjeniku Saveza. Isto vrijedi i za Voditelja natjecanja i stavke iz članka 7.5.2, kao i za Udruge koje sudjeluju na natjecanju.</w:t>
      </w:r>
    </w:p>
    <w:p w:rsidR="0093268B" w:rsidRPr="0093268B" w:rsidRDefault="0093268B" w:rsidP="0093268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3268B">
        <w:rPr>
          <w:rFonts w:ascii="Arial" w:hAnsi="Arial" w:cs="Arial"/>
          <w:i/>
          <w:color w:val="0070C0"/>
          <w:sz w:val="20"/>
          <w:szCs w:val="20"/>
        </w:rPr>
        <w:t>6.3.2 Rok za plaćanje je 3 radna dana od dana donošenja odluke. Udruga dužnik nema pravo nastupa na natjecanjima Saveza sve do podmirenja duga. Voditelj natjecanja dužnik nema pravo vođenja natjecanja Saveza sve do podmirenja duga.</w:t>
      </w:r>
    </w:p>
    <w:p w:rsidR="0093268B" w:rsidRPr="0093268B" w:rsidRDefault="0093268B" w:rsidP="0093268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3268B">
        <w:rPr>
          <w:rFonts w:ascii="Arial" w:hAnsi="Arial" w:cs="Arial"/>
          <w:i/>
          <w:color w:val="0070C0"/>
          <w:sz w:val="20"/>
          <w:szCs w:val="20"/>
        </w:rPr>
        <w:t>6.3.3 Mogućnost žalbe na odluke Ravnatelja definirane su u članku 10.4. ovog Pravilnika.</w:t>
      </w:r>
    </w:p>
    <w:p w:rsidR="001C3591" w:rsidRDefault="001C3591" w:rsidP="001C359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3719AB" w:rsidRDefault="003719AB" w:rsidP="00AE521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Dopuna u članku 7.5.1</w:t>
      </w:r>
    </w:p>
    <w:p w:rsidR="003719AB" w:rsidRPr="003719AB" w:rsidRDefault="003719AB" w:rsidP="003719A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3719AB">
        <w:rPr>
          <w:rFonts w:ascii="Arial" w:hAnsi="Arial" w:cs="Arial"/>
          <w:i/>
          <w:sz w:val="20"/>
          <w:szCs w:val="20"/>
        </w:rPr>
        <w:t>7.5.1 Na svim natjecanjima savezne razine obvezan je voditelj natjecanja</w:t>
      </w:r>
      <w:r w:rsidRPr="003719AB">
        <w:rPr>
          <w:i/>
        </w:rPr>
        <w:t xml:space="preserve"> </w:t>
      </w:r>
      <w:r w:rsidRPr="003719AB">
        <w:rPr>
          <w:rFonts w:ascii="Arial" w:hAnsi="Arial" w:cs="Arial"/>
          <w:i/>
          <w:sz w:val="20"/>
          <w:szCs w:val="20"/>
        </w:rPr>
        <w:t xml:space="preserve">s licencom. Voditelja natjecanja određuje </w:t>
      </w:r>
      <w:r w:rsidRPr="003719AB">
        <w:rPr>
          <w:rFonts w:ascii="Arial" w:hAnsi="Arial" w:cs="Arial"/>
          <w:i/>
          <w:color w:val="0070C0"/>
          <w:sz w:val="20"/>
          <w:szCs w:val="20"/>
        </w:rPr>
        <w:t xml:space="preserve">i plaća </w:t>
      </w:r>
      <w:r w:rsidRPr="003719AB">
        <w:rPr>
          <w:rFonts w:ascii="Arial" w:hAnsi="Arial" w:cs="Arial"/>
          <w:i/>
          <w:sz w:val="20"/>
          <w:szCs w:val="20"/>
        </w:rPr>
        <w:t xml:space="preserve">organizator natjecanja, a može se odrediti da ima i pomoćnike. Niti jedna druga službena osoba na natjecanju ne može preuzeti ovlasti Voditelja natjecanja. </w:t>
      </w:r>
    </w:p>
    <w:p w:rsidR="003719AB" w:rsidRDefault="003719AB" w:rsidP="003719AB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100DE5" w:rsidRDefault="00100DE5" w:rsidP="00AE521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Dopuna u čl</w:t>
      </w:r>
      <w:r w:rsidR="003719AB">
        <w:rPr>
          <w:rFonts w:ascii="Arial" w:hAnsi="Arial" w:cs="Arial"/>
          <w:sz w:val="20"/>
          <w:szCs w:val="20"/>
        </w:rPr>
        <w:t>anku</w:t>
      </w:r>
      <w:r>
        <w:rPr>
          <w:rFonts w:ascii="Arial" w:hAnsi="Arial" w:cs="Arial"/>
          <w:sz w:val="20"/>
          <w:szCs w:val="20"/>
        </w:rPr>
        <w:t xml:space="preserve"> 8.2</w:t>
      </w:r>
      <w:r w:rsidR="00E34D4A">
        <w:rPr>
          <w:rFonts w:ascii="Arial" w:hAnsi="Arial" w:cs="Arial"/>
          <w:sz w:val="20"/>
          <w:szCs w:val="20"/>
        </w:rPr>
        <w:t xml:space="preserve"> – </w:t>
      </w:r>
      <w:r w:rsidR="005F2723">
        <w:rPr>
          <w:rFonts w:ascii="Arial" w:hAnsi="Arial" w:cs="Arial"/>
          <w:sz w:val="20"/>
          <w:szCs w:val="20"/>
        </w:rPr>
        <w:t>promjena – razlikovanje "Walkover" i "Retired":</w:t>
      </w:r>
    </w:p>
    <w:p w:rsidR="00E34D4A" w:rsidRDefault="00E34D4A" w:rsidP="00100DE5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</w:p>
    <w:p w:rsidR="00811507" w:rsidRDefault="00811507" w:rsidP="00100DE5">
      <w:pPr>
        <w:pStyle w:val="ListParagraph"/>
        <w:ind w:left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8.2 .....</w:t>
      </w:r>
    </w:p>
    <w:p w:rsidR="00DC5D5D" w:rsidRPr="005F2723" w:rsidRDefault="00DC5D5D" w:rsidP="00100DE5">
      <w:pPr>
        <w:pStyle w:val="ListParagraph"/>
        <w:ind w:left="360"/>
        <w:rPr>
          <w:rFonts w:ascii="Arial" w:hAnsi="Arial" w:cs="Arial"/>
          <w:i/>
          <w:strike/>
          <w:color w:val="FF0000"/>
          <w:sz w:val="20"/>
          <w:szCs w:val="20"/>
        </w:rPr>
      </w:pPr>
      <w:r w:rsidRPr="005F2723">
        <w:rPr>
          <w:rFonts w:ascii="Arial" w:hAnsi="Arial" w:cs="Arial"/>
          <w:i/>
          <w:strike/>
          <w:color w:val="FF0000"/>
          <w:sz w:val="20"/>
          <w:szCs w:val="20"/>
        </w:rPr>
        <w:t>Ako je neki pojedinac ili par bio prijavljen za natjecanje, a nije započeo prvi meč ili nije završio prvi meč, onda nema plasman.</w:t>
      </w:r>
    </w:p>
    <w:p w:rsidR="008D0A11" w:rsidRDefault="005F2723" w:rsidP="003719AB">
      <w:pPr>
        <w:pStyle w:val="ListParagraph"/>
        <w:ind w:left="360"/>
        <w:rPr>
          <w:rFonts w:ascii="Arial" w:hAnsi="Arial" w:cs="Arial"/>
          <w:i/>
          <w:color w:val="0070C0"/>
          <w:sz w:val="20"/>
          <w:szCs w:val="20"/>
        </w:rPr>
      </w:pPr>
      <w:r w:rsidRPr="003719AB">
        <w:rPr>
          <w:rFonts w:ascii="Arial" w:hAnsi="Arial" w:cs="Arial"/>
          <w:i/>
          <w:color w:val="0070C0"/>
          <w:sz w:val="20"/>
          <w:szCs w:val="20"/>
        </w:rPr>
        <w:t>Ako je neki pojedinac ili par bio prijavljen za natjecanje, a nije započeo prvi meč (walkover), onda taj pojedinac ili par nema plasman.</w:t>
      </w:r>
    </w:p>
    <w:p w:rsidR="003719AB" w:rsidRDefault="003719AB" w:rsidP="003719AB">
      <w:pPr>
        <w:pStyle w:val="ListParagraph"/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:rsidR="00D20399" w:rsidRDefault="00D20399" w:rsidP="00D20399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Izmjena u član</w:t>
      </w:r>
      <w:r w:rsidR="00507FE0">
        <w:rPr>
          <w:rFonts w:ascii="Arial" w:hAnsi="Arial" w:cs="Arial"/>
          <w:color w:val="000000" w:themeColor="text1"/>
          <w:sz w:val="20"/>
          <w:szCs w:val="20"/>
        </w:rPr>
        <w:t xml:space="preserve">cima 10.3 i </w:t>
      </w:r>
      <w:r>
        <w:rPr>
          <w:rFonts w:ascii="Arial" w:hAnsi="Arial" w:cs="Arial"/>
          <w:color w:val="000000" w:themeColor="text1"/>
          <w:sz w:val="20"/>
          <w:szCs w:val="20"/>
        </w:rPr>
        <w:t>10.4 – vezano za promjenu rednog broja članka u Cjeniku Saveza</w:t>
      </w:r>
    </w:p>
    <w:p w:rsidR="00507FE0" w:rsidRDefault="00507FE0" w:rsidP="00507FE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507FE0">
        <w:rPr>
          <w:rFonts w:ascii="Arial" w:hAnsi="Arial" w:cs="Arial"/>
          <w:i/>
          <w:sz w:val="20"/>
          <w:szCs w:val="20"/>
        </w:rPr>
        <w:t>10.3 Žalbu na odluku Vrhovnog suca po pitanjima vezanim uz provedbu natjecanja, odnosno vođenje meča, a koja nisu regulirana Pravilima badmintonske igre ili aktima Saveza, moguće je uložiti Savezu u roku 48 sati od završetka natjecanja uz uplatu odgovarajuće naknade prema Cjeniku Saveza (</w:t>
      </w:r>
      <w:r w:rsidRPr="00507FE0">
        <w:rPr>
          <w:rFonts w:ascii="Arial" w:hAnsi="Arial" w:cs="Arial"/>
          <w:i/>
          <w:color w:val="000000" w:themeColor="text1"/>
          <w:sz w:val="20"/>
          <w:szCs w:val="20"/>
        </w:rPr>
        <w:t xml:space="preserve">točka </w:t>
      </w:r>
      <w:r w:rsidRPr="00507FE0">
        <w:rPr>
          <w:rFonts w:ascii="Arial" w:hAnsi="Arial" w:cs="Arial"/>
          <w:i/>
          <w:strike/>
          <w:color w:val="FF0000"/>
          <w:sz w:val="20"/>
          <w:szCs w:val="20"/>
        </w:rPr>
        <w:t>3.4</w:t>
      </w:r>
      <w:r w:rsidRPr="00507FE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507FE0">
        <w:rPr>
          <w:rFonts w:ascii="Arial" w:hAnsi="Arial" w:cs="Arial"/>
          <w:i/>
          <w:color w:val="0070C0"/>
          <w:sz w:val="20"/>
          <w:szCs w:val="20"/>
        </w:rPr>
        <w:t>3.5</w:t>
      </w:r>
      <w:r w:rsidRPr="00507FE0">
        <w:rPr>
          <w:rFonts w:ascii="Arial" w:hAnsi="Arial" w:cs="Arial"/>
          <w:i/>
          <w:color w:val="000000" w:themeColor="text1"/>
          <w:sz w:val="20"/>
          <w:szCs w:val="20"/>
        </w:rPr>
        <w:t>).</w:t>
      </w:r>
    </w:p>
    <w:p w:rsidR="00507FE0" w:rsidRDefault="00507FE0" w:rsidP="00507FE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D20399" w:rsidRPr="00D20399" w:rsidRDefault="00D20399" w:rsidP="00507FE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D20399">
        <w:rPr>
          <w:rFonts w:ascii="Arial" w:hAnsi="Arial" w:cs="Arial"/>
          <w:i/>
          <w:color w:val="000000" w:themeColor="text1"/>
          <w:sz w:val="20"/>
          <w:szCs w:val="20"/>
        </w:rPr>
        <w:t xml:space="preserve">10.4 Žalbu na odluku Ravnatelja natjecanja moguće je, uz uplatu odgovarajuće naknade prema Cjeniku Saveza (točka </w:t>
      </w:r>
      <w:r w:rsidRPr="00BF2631">
        <w:rPr>
          <w:rFonts w:ascii="Arial" w:hAnsi="Arial" w:cs="Arial"/>
          <w:i/>
          <w:strike/>
          <w:color w:val="FF0000"/>
          <w:sz w:val="20"/>
          <w:szCs w:val="20"/>
        </w:rPr>
        <w:t>3.4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BF2631">
        <w:rPr>
          <w:rFonts w:ascii="Arial" w:hAnsi="Arial" w:cs="Arial"/>
          <w:i/>
          <w:color w:val="0070C0"/>
          <w:sz w:val="20"/>
          <w:szCs w:val="20"/>
        </w:rPr>
        <w:t>3.5</w:t>
      </w:r>
      <w:r w:rsidRPr="00D20399">
        <w:rPr>
          <w:rFonts w:ascii="Arial" w:hAnsi="Arial" w:cs="Arial"/>
          <w:i/>
          <w:color w:val="000000" w:themeColor="text1"/>
          <w:sz w:val="20"/>
          <w:szCs w:val="20"/>
        </w:rPr>
        <w:t>), uložiti žalbu Upravnom odboru Saveza, u roku 7 dana od primitka rješenja od strane Ravnatelja natjecanja, a Upravni odbor Saveza je dužan donijeti odluku na prvoj sljedećoj sjednici nakon podnošenja žalbe. Odluka Upravnog odbora Saveza je konačna.</w:t>
      </w:r>
    </w:p>
    <w:sectPr w:rsidR="00D20399" w:rsidRPr="00D20399" w:rsidSect="008F11E5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07610"/>
    <w:multiLevelType w:val="hybridMultilevel"/>
    <w:tmpl w:val="16DC4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3606B"/>
    <w:multiLevelType w:val="hybridMultilevel"/>
    <w:tmpl w:val="B16297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8D21AD"/>
    <w:multiLevelType w:val="hybridMultilevel"/>
    <w:tmpl w:val="80E0828C"/>
    <w:lvl w:ilvl="0" w:tplc="7E7E296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0D1A1F"/>
    <w:multiLevelType w:val="hybridMultilevel"/>
    <w:tmpl w:val="9CA6F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F01FF"/>
    <w:multiLevelType w:val="hybridMultilevel"/>
    <w:tmpl w:val="746A73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02F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F"/>
    <w:rsid w:val="00100DE5"/>
    <w:rsid w:val="00126E1E"/>
    <w:rsid w:val="00132111"/>
    <w:rsid w:val="001C3591"/>
    <w:rsid w:val="001F26B7"/>
    <w:rsid w:val="002212CE"/>
    <w:rsid w:val="00233773"/>
    <w:rsid w:val="002A75B6"/>
    <w:rsid w:val="002E23BD"/>
    <w:rsid w:val="00304A78"/>
    <w:rsid w:val="00371232"/>
    <w:rsid w:val="003719AB"/>
    <w:rsid w:val="003B1A42"/>
    <w:rsid w:val="003C5AEB"/>
    <w:rsid w:val="003F2ED9"/>
    <w:rsid w:val="003F631A"/>
    <w:rsid w:val="00401E61"/>
    <w:rsid w:val="00405B9D"/>
    <w:rsid w:val="004733CB"/>
    <w:rsid w:val="00507FE0"/>
    <w:rsid w:val="0051350A"/>
    <w:rsid w:val="00553434"/>
    <w:rsid w:val="00554653"/>
    <w:rsid w:val="0059742E"/>
    <w:rsid w:val="005C3C46"/>
    <w:rsid w:val="005F2723"/>
    <w:rsid w:val="006664D2"/>
    <w:rsid w:val="00677CB7"/>
    <w:rsid w:val="00687DE8"/>
    <w:rsid w:val="006916C2"/>
    <w:rsid w:val="006F5006"/>
    <w:rsid w:val="00712A7F"/>
    <w:rsid w:val="00740000"/>
    <w:rsid w:val="00744D1F"/>
    <w:rsid w:val="00811507"/>
    <w:rsid w:val="008B7E42"/>
    <w:rsid w:val="008D0A11"/>
    <w:rsid w:val="008F11E5"/>
    <w:rsid w:val="0093268B"/>
    <w:rsid w:val="00980918"/>
    <w:rsid w:val="009A34A5"/>
    <w:rsid w:val="00A15CAE"/>
    <w:rsid w:val="00A6239E"/>
    <w:rsid w:val="00AC6EEA"/>
    <w:rsid w:val="00AE5218"/>
    <w:rsid w:val="00B32E11"/>
    <w:rsid w:val="00B6334C"/>
    <w:rsid w:val="00BE7432"/>
    <w:rsid w:val="00BF2631"/>
    <w:rsid w:val="00C27D5F"/>
    <w:rsid w:val="00C448E6"/>
    <w:rsid w:val="00CC508C"/>
    <w:rsid w:val="00D00F2B"/>
    <w:rsid w:val="00D20399"/>
    <w:rsid w:val="00D82824"/>
    <w:rsid w:val="00DC03C3"/>
    <w:rsid w:val="00DC5D5D"/>
    <w:rsid w:val="00E34D4A"/>
    <w:rsid w:val="00F27CFA"/>
    <w:rsid w:val="00F3157E"/>
    <w:rsid w:val="00F361A0"/>
    <w:rsid w:val="00F713D1"/>
    <w:rsid w:val="00FB7E36"/>
    <w:rsid w:val="00FD079B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D1F"/>
    <w:pPr>
      <w:ind w:left="720"/>
      <w:contextualSpacing/>
    </w:pPr>
  </w:style>
  <w:style w:type="paragraph" w:styleId="NormalWeb">
    <w:name w:val="Normal (Web)"/>
    <w:basedOn w:val="Normal"/>
    <w:uiPriority w:val="99"/>
    <w:rsid w:val="008B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3F63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D1F"/>
    <w:pPr>
      <w:ind w:left="720"/>
      <w:contextualSpacing/>
    </w:pPr>
  </w:style>
  <w:style w:type="paragraph" w:styleId="NormalWeb">
    <w:name w:val="Normal (Web)"/>
    <w:basedOn w:val="Normal"/>
    <w:uiPriority w:val="99"/>
    <w:rsid w:val="008B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3F6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PBZ d.d.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Janičić</dc:creator>
  <cp:lastModifiedBy>Maja</cp:lastModifiedBy>
  <cp:revision>2</cp:revision>
  <dcterms:created xsi:type="dcterms:W3CDTF">2018-12-04T12:34:00Z</dcterms:created>
  <dcterms:modified xsi:type="dcterms:W3CDTF">2018-12-04T12:34:00Z</dcterms:modified>
</cp:coreProperties>
</file>